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753E0">
      <w:pPr>
        <w:widowControl/>
        <w:snapToGrid w:val="0"/>
        <w:spacing w:after="156" w:afterLines="50" w:line="259" w:lineRule="auto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</w:t>
      </w:r>
      <w:r>
        <w:rPr>
          <w:rFonts w:hint="eastAsia" w:ascii="微软雅黑" w:hAnsi="微软雅黑" w:eastAsia="微软雅黑" w:cs="黑体"/>
          <w:b/>
          <w:kern w:val="0"/>
          <w:sz w:val="32"/>
          <w:szCs w:val="32"/>
        </w:rPr>
        <w:t>生涯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项目三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3"/>
        <w:tblW w:w="91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532"/>
        <w:gridCol w:w="1457"/>
        <w:gridCol w:w="281"/>
        <w:gridCol w:w="1110"/>
        <w:gridCol w:w="168"/>
        <w:gridCol w:w="1418"/>
        <w:gridCol w:w="1979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01" w:hRule="atLeast"/>
          <w:jc w:val="center"/>
        </w:trPr>
        <w:tc>
          <w:tcPr>
            <w:tcW w:w="9133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BAD4DC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</w:rPr>
              <w:t>职业概述与分类；职业发展趋势分析；职业环境分析；职业信息获取与职业发展通道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1979" w:type="dxa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45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1979" w:type="dxa"/>
            <w:shd w:val="clear" w:color="auto" w:fill="FFFFFF"/>
            <w:vAlign w:val="center"/>
          </w:tcPr>
          <w:tbl>
            <w:tblPr>
              <w:tblW w:w="0" w:type="auto"/>
              <w:tblInd w:w="-270" w:type="dxa"/>
              <w:tblBorders>
                <w:top w:val="single" w:color="auto" w:sz="1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none" w:color="auto" w:sz="0" w:space="0"/>
                <w:insideV w:val="none" w:color="auto" w:sz="0" w:space="0"/>
              </w:tblBorders>
              <w:shd w:val="clear" w:color="auto" w:fill="F9FAFB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640"/>
            </w:tblGrid>
            <w:tr w14:paraId="2E52C59C">
              <w:tblPrEx>
                <w:tblBorders>
                  <w:top w:val="single" w:color="auto" w:sz="12" w:space="0"/>
                  <w:left w:val="single" w:color="auto" w:sz="2" w:space="0"/>
                  <w:bottom w:val="single" w:color="auto" w:sz="2" w:space="0"/>
                  <w:right w:val="single" w:color="auto" w:sz="2" w:space="0"/>
                  <w:insideH w:val="none" w:color="auto" w:sz="0" w:space="0"/>
                  <w:insideV w:val="none" w:color="auto" w:sz="0" w:space="0"/>
                </w:tblBorders>
                <w:shd w:val="clear" w:color="auto" w:fill="F9FAFB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640" w:type="dxa"/>
                  <w:tcBorders>
                    <w:top w:val="nil"/>
                    <w:left w:val="nil"/>
                    <w:bottom w:val="nil"/>
                    <w:right w:val="single" w:color="auto" w:sz="12" w:space="0"/>
                  </w:tcBorders>
                  <w:shd w:val="clear" w:color="auto" w:fill="F9FAFB"/>
                  <w:tcMar>
                    <w:top w:w="180" w:type="dxa"/>
                    <w:left w:w="270" w:type="dxa"/>
                    <w:bottom w:w="180" w:type="dxa"/>
                    <w:right w:w="270" w:type="dxa"/>
                  </w:tcMar>
                  <w:vAlign w:val="center"/>
                </w:tcPr>
                <w:p w14:paraId="71043D1B"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420" w:lineRule="atLeast"/>
                    <w:ind w:left="0" w:right="0" w:firstLine="0"/>
                    <w:jc w:val="left"/>
                    <w:rPr>
                      <w:rFonts w:ascii="Segoe UI" w:hAnsi="Segoe UI" w:eastAsia="Segoe UI" w:cs="Segoe UI"/>
                      <w:i w:val="0"/>
                      <w:iCs w:val="0"/>
                      <w:caps w:val="0"/>
                      <w:color w:val="000000"/>
                      <w:spacing w:val="0"/>
                      <w:sz w:val="24"/>
                      <w:szCs w:val="24"/>
                    </w:rPr>
                  </w:pPr>
                  <w:r>
                    <w:rPr>
                      <w:rFonts w:hint="default" w:ascii="Segoe UI" w:hAnsi="Segoe UI" w:eastAsia="Segoe UI" w:cs="Segoe UI"/>
                      <w:i w:val="0"/>
                      <w:iCs w:val="0"/>
                      <w:caps w:val="0"/>
                      <w:color w:val="000000"/>
                      <w:spacing w:val="0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理论 + 实践</w:t>
                  </w:r>
                </w:p>
              </w:tc>
            </w:tr>
          </w:tbl>
          <w:p w14:paraId="199928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5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</w:rPr>
              <w:t>多媒体设备、计算机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29490E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学生对职业规划有初步的感性认识，但缺乏系统的理论知识和实践经验，对自身的兴趣、能力等认知不够深入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。</w:t>
            </w: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</w:rPr>
              <w:t>学生对职业有初步认知，但缺乏对职业分类、发展趋势的系统了解，未掌握职业环境分析方法，职业信息搜集与筛选能力较弱。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</w:rPr>
              <w:t>能通过网络初步获取职业信息，但无法结合社会需求、行业前景分析信息价值，在“个人-岗位-企业-行业”匹配度判断上存在困难，缺乏职业发展通道规划意识。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CED21CF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1.培养职业探索积极性，增强主动了解职业世界的意识，树立正确的职业观和就业观。</w:t>
            </w:r>
          </w:p>
          <w:p w14:paraId="7BD753F6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2.职业规划中注重个人发展与社会需求的统一，增强社会责任感。</w:t>
            </w:r>
          </w:p>
          <w:p w14:paraId="19CFB7D3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3.提升应能力，能够在不断变化的职业环境中灵活调整职业规划。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F6E3D14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1.理解职业的内涵、特点、分类等，明晰职业发展的趋势。</w:t>
            </w:r>
          </w:p>
          <w:p w14:paraId="24B2A80C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2.掌握社会、行业、企业和岗位等职业环境分析的内容与方法。</w:t>
            </w:r>
          </w:p>
          <w:p w14:paraId="6023F8D8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3.明确职业信息获取的途径与方法，多维度搜集和分析信息。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47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5A73D71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1.能对具体职业进行深入剖析，准判断职业发展前景，为职业选择提供有力依据。</w:t>
            </w:r>
          </w:p>
          <w:p w14:paraId="66838AA5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2.运用职业环境分析技能，分析职业环境是否适合自己，提升职业决策能力。</w:t>
            </w:r>
          </w:p>
          <w:p w14:paraId="6ACC35EC">
            <w:pPr>
              <w:widowControl/>
              <w:spacing w:after="0" w:line="240" w:lineRule="auto"/>
              <w:jc w:val="left"/>
              <w:rPr>
                <w:rFonts w:hint="eastAsia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3.学会多渠道获取职业信息并对信息进行有效筛选和整合，为职业规划提供可靠依据。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413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E76BB2D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.通过小张（智能客服领域）、巢丽萍（房地产评估）、许振超（“人民工匠”）等案例，引导学生树立“干一行、爱一行、精一行”的职业精神，追求职业价值与自我价值的统一。</w:t>
            </w:r>
          </w:p>
          <w:p w14:paraId="1F58A8CA">
            <w:pPr>
              <w:widowControl/>
              <w:spacing w:after="0" w:line="240" w:lineRule="auto"/>
              <w:jc w:val="left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kern w:val="0"/>
                <w:sz w:val="21"/>
                <w:szCs w:val="36"/>
                <w:lang w:val="en-US" w:eastAsia="zh-CN"/>
              </w:rPr>
              <w:t>2.结合“人工智能+”“高端制造业”“环保”等国家重点发展领域，引导学生将职业规划与国家战略结合，增强服务社会、推动行业发展的使命感。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988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4CD73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1.职业发展趋势（传统职业变革、第三产业与高端制造业发展）及未来热门职业领域。</w:t>
            </w:r>
          </w:p>
          <w:p w14:paraId="30E9155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2.职业环境分析的四层维度（社会、行业、企业、岗位）核心内容与方法。</w:t>
            </w:r>
          </w:p>
          <w:p w14:paraId="456A8D1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3.职业信息获取途径与双通道、多通道职业发展模式。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565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7D80B7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.运用四层环境分析方法系统拆解目标职业，精准判断个人与岗位的差距。</w:t>
            </w:r>
          </w:p>
          <w:p w14:paraId="24E4C8D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2.结合职业发展趋势与自身特质，选择适配的职业发展通道并制定可行的探索计划。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7945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1C8F16C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1.采用“案例+实操”结合法：以智能客服、房地产评估等案例讲解环境分析方法，再让学生分组完成某一热门职业（如AI训练师）的环境分析实操，教师现场指导。</w:t>
            </w:r>
          </w:p>
          <w:p w14:paraId="46E0E56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2.开展“职业通道匹配”小组讨论：提供不同特质学生案例（如技术型、管理型），引导学生分析其适配的发展通道，结合自身情况分享选择理由。</w:t>
            </w:r>
          </w:p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3.利用AI工具辅助：指导学生使用文心一言等工具生成目标职业的环境分析报告，对比自身分析结果，查漏补缺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讲授/提问/案例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分享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/讨论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565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b w:val="0"/>
                <w:bCs/>
                <w:sz w:val="21"/>
                <w:szCs w:val="36"/>
              </w:rPr>
              <w:t>自主学习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/完成课后任务/小组讨论/发言</w:t>
            </w:r>
          </w:p>
        </w:tc>
      </w:tr>
    </w:tbl>
    <w:p w14:paraId="5FD6473E"/>
    <w:p w14:paraId="2281A2DC"/>
    <w:tbl>
      <w:tblPr>
        <w:tblStyle w:val="3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762984">
            <w:pPr>
              <w:widowControl/>
              <w:numPr>
                <w:numId w:val="0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eastAsia="zh-CN"/>
              </w:rPr>
              <w:t>职业信息搜集与行业趋势调研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A0F272">
            <w:pPr>
              <w:widowControl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1.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结合《国民经济行业分类》（GB/T4754-2017），选取1个未来热门职业领域（如大数据、智能医疗）调研其发展现状。</w:t>
            </w:r>
          </w:p>
          <w:p w14:paraId="2036B303">
            <w:pPr>
              <w:widowControl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2.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填写“职业信息记录表”，包含行业规模、核心岗位、技能要求3项内容。</w:t>
            </w:r>
          </w:p>
          <w:p w14:paraId="117B9CF6">
            <w:pPr>
              <w:widowControl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3.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开放性问题：“该职业领域当前最紧缺的能力是什么？你目前是否具备？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widowControl/>
              <w:numPr>
                <w:numId w:val="0"/>
              </w:numPr>
              <w:spacing w:after="0" w:line="240" w:lineRule="auto"/>
              <w:jc w:val="left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布置调研任务，提供行业报告参考链接，收集记录表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8547BAF">
            <w:pPr>
              <w:widowControl/>
              <w:numPr>
                <w:numId w:val="0"/>
              </w:numPr>
              <w:spacing w:after="0" w:line="240" w:lineRule="auto"/>
              <w:jc w:val="left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完成指定职业领域调研，填写记录表，思考开放性问题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。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widowControl/>
              <w:numPr>
                <w:numId w:val="0"/>
              </w:numPr>
              <w:spacing w:after="0" w:line="240" w:lineRule="auto"/>
              <w:jc w:val="left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让学生提前接触职业信息，初步感知行业趋势，为课堂深入分析奠定基础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。。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6A83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579F31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环节一</w:t>
            </w:r>
          </w:p>
          <w:p w14:paraId="08274B1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职业发展趋势分析</w:t>
            </w:r>
          </w:p>
          <w:p w14:paraId="2F894BC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30min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95B5D85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职业概述</w:t>
            </w:r>
          </w:p>
          <w:p w14:paraId="0738BD18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职业发展趋势</w:t>
            </w:r>
          </w:p>
          <w:p w14:paraId="4E6E4B76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未来热门职业领域</w:t>
            </w:r>
          </w:p>
          <w:p w14:paraId="3A60D28B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讨论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与思考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：“高新技术发展下，会出现哪些新职业？工作模式会如何变化？”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F79997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讲解</w:t>
            </w:r>
          </w:p>
          <w:p w14:paraId="5CFCD05C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案例说明</w:t>
            </w:r>
          </w:p>
          <w:p w14:paraId="0E6B226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抛出问题引导交流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3794D7E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听讲</w:t>
            </w:r>
          </w:p>
          <w:p w14:paraId="6A0FA703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记录</w:t>
            </w:r>
          </w:p>
          <w:p w14:paraId="6EDC9BDF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思考</w:t>
            </w:r>
          </w:p>
          <w:p w14:paraId="72BDAFA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讨论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AD4E9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帮助学生掌握职业核心知识，理解职业发展规律，激发对新职业的探索思考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0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D71CF0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环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节二</w:t>
            </w:r>
          </w:p>
          <w:p w14:paraId="75B02124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职业环境分析</w:t>
            </w:r>
          </w:p>
          <w:p w14:paraId="66BD7B3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25min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93AB8BF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社会环境分析</w:t>
            </w:r>
          </w:p>
          <w:p w14:paraId="227F4F8C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行业环境分析</w:t>
            </w:r>
          </w:p>
          <w:p w14:paraId="6F18FBD1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讨论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与思考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：“以人工智能行业为例，其政治环境（如‘人工智能+’政策）对从业者有哪些要求？”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676EA8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讲解</w:t>
            </w:r>
          </w:p>
          <w:p w14:paraId="287D81FE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576A0A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听讲</w:t>
            </w:r>
          </w:p>
          <w:p w14:paraId="4D497ED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思考</w:t>
            </w:r>
          </w:p>
          <w:p w14:paraId="15658822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讨论</w:t>
            </w:r>
          </w:p>
          <w:p w14:paraId="4589BC9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让学生掌握社会、行业环境分析方法，能结合实际行业解读环境对职业的影响</w:t>
            </w:r>
          </w:p>
        </w:tc>
      </w:tr>
      <w:tr w14:paraId="6F5D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9243C22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环节三</w:t>
            </w:r>
          </w:p>
          <w:p w14:paraId="42DAB3CD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职业环境分析（企业、岗位）</w:t>
            </w:r>
          </w:p>
          <w:p w14:paraId="17324618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25min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05628D2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企业环境分析</w:t>
            </w:r>
          </w:p>
          <w:p w14:paraId="18532E61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岗位环境分析</w:t>
            </w:r>
          </w:p>
          <w:p w14:paraId="2B2277E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讨论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与思考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：“以‘数据工程师’岗位为例，如何量化评估自身与岗位要求的差距？”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7FE064B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案例讲解企</w:t>
            </w:r>
          </w:p>
          <w:p w14:paraId="22B94530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引导思考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66A2C0B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听讲</w:t>
            </w:r>
          </w:p>
          <w:p w14:paraId="75B301E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思考</w:t>
            </w:r>
          </w:p>
          <w:p w14:paraId="7D25D146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参与讨论</w:t>
            </w:r>
          </w:p>
          <w:p w14:paraId="0B1C1890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分享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4510CB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帮助学生掌握企业、岗位环境分析方法，学会精准判断个人与岗位的适配度</w:t>
            </w: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4AC756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环节四</w:t>
            </w:r>
          </w:p>
          <w:p w14:paraId="42BAB715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职业信息获取</w:t>
            </w:r>
          </w:p>
          <w:p w14:paraId="2BEC6E59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20min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5C55FA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行业、职业、用人单位确定</w:t>
            </w:r>
          </w:p>
          <w:p w14:paraId="0EDE8C9B">
            <w:pPr>
              <w:widowControl/>
              <w:numPr>
                <w:ilvl w:val="0"/>
                <w:numId w:val="1"/>
              </w:numPr>
              <w:spacing w:after="0" w:line="240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职业发展通道</w:t>
            </w:r>
          </w:p>
          <w:p w14:paraId="574FA64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讨论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与思考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：“选择用人单位时，更看重发展前景、公司福利还是薪资待遇？为什么？”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D924408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讲解</w:t>
            </w:r>
          </w:p>
          <w:p w14:paraId="3D8387BA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组织讨论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281930E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听讲</w:t>
            </w:r>
          </w:p>
          <w:p w14:paraId="5D639875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思考</w:t>
            </w:r>
          </w:p>
          <w:p w14:paraId="1871D19F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参与讨论</w:t>
            </w:r>
          </w:p>
          <w:p w14:paraId="017411DD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让学生掌握职业信息获取方法，明确职业发展通道类型，理性看待用人单位选择</w:t>
            </w: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EF05B03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环节五</w:t>
            </w:r>
          </w:p>
          <w:p w14:paraId="198CC80A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实践应用</w:t>
            </w:r>
          </w:p>
          <w:p w14:paraId="38896D2C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/>
              </w:rPr>
              <w:t>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5E63F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运用“社会-行业-企业-岗位”四层分析法，分组完成1个目标职业（如AI训练师）的环境分析，填写分析表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809A5D">
            <w:pPr>
              <w:widowControl/>
              <w:spacing w:after="0"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提供分析表模板，巡视各小组，针对分析难点（如企业实力评估）提供指导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BE6FA30">
            <w:pPr>
              <w:widowControl/>
              <w:spacing w:after="0"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以小组为单位，分工协作完成目标职业环境分析，形成分析表并小组间互评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让学生在实践中运用职业环境分析方法，提升实操能力与团队协作能力</w:t>
            </w: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作业布置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4B954D85">
            <w:pPr>
              <w:widowControl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.选择1个感兴趣的职业，从社会、行业、企业、岗位四个方面撰写完整的职业环境分析报告；</w:t>
            </w:r>
          </w:p>
          <w:p w14:paraId="09760830">
            <w:pPr>
              <w:widowControl/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2.结合报告，提出1条弥补个人与岗位差距的具体行动计划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2"/>
                <w:lang w:val="en-US" w:eastAsia="zh-CN" w:bidi="ar-SA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24C99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发布作业要求，提供分析报告框架模板，后期批改并反馈共性问题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57845E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完成职业环境分析报告，制定个人差距弥补计划，按时提交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巩固课堂所学的环境分析方法，让学生将理论转化为个人职业规划的实际行动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通过小组讨论发言、实践应用成果互评，多数学生能掌握职业环境分析维度，但部分学生对“企业制度评估”“岗位差距量化”理解不足；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多数学生报告结构完整，但部分报告存在“行业发展阶段判断不准确”“行动计划缺乏可操作性”问题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8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课中可增加“行业大咖连线”环节（如邀请AI企业HR），实时解答学生对行业人才需求的疑问，增强职业环境分析的真实性；针对“岗位差距量化”难点，下次课可引入“技能雷达图”工具，引导学生可视化呈现个人与岗位的差距，提升分析精准度；课后作业可增加“peer review（同伴互评）”环节，让学生互相批改报告，借鉴他人分析思路，加深对知识点的理解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。</w:t>
            </w:r>
          </w:p>
        </w:tc>
      </w:tr>
    </w:tbl>
    <w:p w14:paraId="787D9366">
      <w:pPr>
        <w:tabs>
          <w:tab w:val="left" w:pos="1767"/>
        </w:tabs>
        <w:bidi w:val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421B7E"/>
    <w:rsid w:val="4117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7"/>
      <w:szCs w:val="27"/>
      <w:lang w:val="en-US" w:eastAsia="en-US" w:bidi="ar-SA"/>
    </w:rPr>
  </w:style>
  <w:style w:type="character" w:styleId="5">
    <w:name w:val="Hyperlink"/>
    <w:basedOn w:val="4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2025-08-29T07:08:58Z</dcterms:created>
  <dc:creator>15246</dc:creator>
  <cp:lastModifiedBy>WPS_1724405962</cp:lastModifiedBy>
  <dcterms:modified xsi:type="dcterms:W3CDTF">2025-08-29T08:37:11Z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eyJoZGlkIjoiMjgyZTlhYjQ3YjAwZDE2MzJjM2Y1MGY0ODAyMmNkYzciLCJ1c2VySWQiOiIxNjI1MjI1MjM5In0=</vt:lpwstr>
  </property>
  <property fmtid="{D5CDD505-2E9C-101B-9397-08002B2CF9AE}" pid="4" name="ICV">
    <vt:lpwstr>71105554F91E4912892C6E4A65CAF951_12</vt:lpwstr>
  </property>
</Properties>
</file>