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72EF">
      <w:pPr>
        <w:snapToGrid w:val="0"/>
        <w:spacing w:after="156" w:afterLines="50"/>
        <w:jc w:val="center"/>
        <w:rPr>
          <w:rFonts w:hint="eastAsia" w:ascii="微软雅黑" w:hAnsi="微软雅黑" w:eastAsia="微软雅黑" w:cs="黑体"/>
          <w:b/>
          <w:sz w:val="32"/>
          <w:szCs w:val="32"/>
        </w:rPr>
      </w:pPr>
      <w:r>
        <w:rPr>
          <w:rFonts w:hint="eastAsia" w:ascii="微软雅黑" w:hAnsi="微软雅黑" w:eastAsia="微软雅黑" w:cs="黑体"/>
          <w:b/>
          <w:sz w:val="32"/>
          <w:szCs w:val="32"/>
        </w:rPr>
        <w:t>《职业生涯规划与创新赋能》</w:t>
      </w:r>
      <w:r>
        <w:rPr>
          <w:rFonts w:hint="eastAsia" w:ascii="微软雅黑" w:hAnsi="微软雅黑" w:eastAsia="微软雅黑" w:cs="黑体"/>
          <w:b/>
          <w:sz w:val="32"/>
          <w:szCs w:val="32"/>
          <w:lang w:val="en-US" w:eastAsia="zh-CN"/>
        </w:rPr>
        <w:t>项目一</w:t>
      </w:r>
      <w:r>
        <w:rPr>
          <w:rFonts w:hint="eastAsia" w:ascii="微软雅黑" w:hAnsi="微软雅黑" w:eastAsia="微软雅黑" w:cs="黑体"/>
          <w:b/>
          <w:sz w:val="32"/>
          <w:szCs w:val="32"/>
        </w:rPr>
        <w:t>教案</w:t>
      </w:r>
    </w:p>
    <w:tbl>
      <w:tblPr>
        <w:tblStyle w:val="7"/>
        <w:tblW w:w="92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532"/>
        <w:gridCol w:w="1457"/>
        <w:gridCol w:w="281"/>
        <w:gridCol w:w="1110"/>
        <w:gridCol w:w="168"/>
        <w:gridCol w:w="1418"/>
        <w:gridCol w:w="2056"/>
        <w:gridCol w:w="7"/>
      </w:tblGrid>
      <w:tr w14:paraId="5AE9E1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01" w:hRule="atLeast"/>
          <w:jc w:val="center"/>
        </w:trPr>
        <w:tc>
          <w:tcPr>
            <w:tcW w:w="9210" w:type="dxa"/>
            <w:gridSpan w:val="8"/>
            <w:shd w:val="clear" w:color="auto" w:fill="E7E6E6" w:themeFill="background2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602F7D1">
            <w:pPr>
              <w:spacing w:after="0" w:line="240" w:lineRule="auto"/>
              <w:rPr>
                <w:rFonts w:eastAsia="仿宋" w:cs="宋体"/>
                <w:b/>
                <w:szCs w:val="44"/>
              </w:rPr>
            </w:pPr>
            <w:r>
              <w:rPr>
                <w:rFonts w:hint="eastAsia" w:eastAsia="黑体" w:cs="Times New Roman"/>
                <w:kern w:val="2"/>
                <w:sz w:val="32"/>
                <w:szCs w:val="32"/>
              </w:rPr>
              <w:t>一、基本信息</w:t>
            </w:r>
          </w:p>
        </w:tc>
      </w:tr>
      <w:tr w14:paraId="10CE9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5972087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教学内容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06BAD4D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职业规划的重要性与价值；职业生涯规划理论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4884AE6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授课对象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25244F6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14:paraId="7D0731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授课时间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7FE45F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</w:tr>
      <w:tr w14:paraId="23B814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1188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126B88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授课地点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581B117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</w:p>
        </w:tc>
        <w:tc>
          <w:tcPr>
            <w:tcW w:w="1457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7B7392F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授课学时</w:t>
            </w:r>
          </w:p>
        </w:tc>
        <w:tc>
          <w:tcPr>
            <w:tcW w:w="1559" w:type="dxa"/>
            <w:gridSpan w:val="3"/>
            <w:shd w:val="clear" w:color="auto" w:fill="auto"/>
            <w:vAlign w:val="center"/>
          </w:tcPr>
          <w:p w14:paraId="1BDA4F9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212B6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课程类型</w:t>
            </w:r>
          </w:p>
        </w:tc>
        <w:tc>
          <w:tcPr>
            <w:tcW w:w="2063" w:type="dxa"/>
            <w:gridSpan w:val="2"/>
            <w:shd w:val="clear" w:color="auto" w:fill="FFFFFF"/>
            <w:vAlign w:val="center"/>
          </w:tcPr>
          <w:p w14:paraId="1999289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理论</w:t>
            </w:r>
          </w:p>
        </w:tc>
      </w:tr>
      <w:tr w14:paraId="00588B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8021F4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教材分析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7628A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选用教材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34035EC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eastAsia="zh-CN"/>
              </w:rPr>
            </w:pPr>
          </w:p>
        </w:tc>
      </w:tr>
      <w:tr w14:paraId="6DDF25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5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FF8338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4FDEA0A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参考教材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AC54B1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无</w:t>
            </w:r>
          </w:p>
        </w:tc>
      </w:tr>
      <w:tr w14:paraId="0A4F28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33" w:hRule="atLeast"/>
          <w:jc w:val="center"/>
        </w:trPr>
        <w:tc>
          <w:tcPr>
            <w:tcW w:w="1188" w:type="dxa"/>
            <w:vMerge w:val="restart"/>
            <w:shd w:val="clear" w:color="auto" w:fill="auto"/>
            <w:vAlign w:val="center"/>
          </w:tcPr>
          <w:p w14:paraId="24C183A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配套资源</w:t>
            </w: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E4533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数字化资源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085A467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fldChar w:fldCharType="begin"/>
            </w:r>
            <w:r>
              <w:instrText xml:space="preserve"> HYPERLINK "https://coursehomenew.zhihuishu.com/courseHome/overview?courseId=1000069892&amp;recruitId=143868" \l "teachTeam" </w:instrText>
            </w:r>
            <w:r>
              <w:fldChar w:fldCharType="separate"/>
            </w:r>
            <w:r>
              <w:rPr>
                <w:rStyle w:val="10"/>
                <w:rFonts w:ascii="宋体" w:hAnsi="宋体" w:eastAsia="宋体" w:cs="宋体"/>
                <w:b/>
                <w:sz w:val="21"/>
                <w:szCs w:val="36"/>
              </w:rPr>
              <w:fldChar w:fldCharType="end"/>
            </w:r>
          </w:p>
        </w:tc>
      </w:tr>
      <w:tr w14:paraId="5C8B0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463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19DF7F0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2E17FF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软硬件及设备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vAlign w:val="center"/>
          </w:tcPr>
          <w:p w14:paraId="69A791A3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多媒体设备</w:t>
            </w:r>
          </w:p>
        </w:tc>
      </w:tr>
      <w:tr w14:paraId="3BE46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5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CEC2A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学情分析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B1F270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1"/>
                <w:szCs w:val="36"/>
              </w:rPr>
            </w:pPr>
            <w:r>
              <w:rPr>
                <w:rFonts w:ascii="宋体" w:hAnsi="宋体" w:eastAsia="宋体" w:cs="宋体"/>
                <w:b/>
                <w:color w:val="auto"/>
                <w:sz w:val="21"/>
                <w:szCs w:val="36"/>
              </w:rPr>
              <w:t>知识技能基础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529490E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auto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  <w:t>学生对职业规划有初步的感性认识，但缺乏系统的理论知识和实践经验，对自身的兴趣、能力等认知不够深入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。</w:t>
            </w:r>
          </w:p>
        </w:tc>
      </w:tr>
      <w:tr w14:paraId="4DCE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25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569A15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005EBCF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认知与实践能力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D83A146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学生能通过日常学习、社团活动初步感知自身兴趣与能力，但目前缺乏运用专业理论分析职业方向的能力，在学业规划与职业目标衔接上存在困惑。</w:t>
            </w:r>
          </w:p>
        </w:tc>
      </w:tr>
      <w:tr w14:paraId="0D186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030" w:hRule="atLeast"/>
          <w:jc w:val="center"/>
        </w:trPr>
        <w:tc>
          <w:tcPr>
            <w:tcW w:w="1188" w:type="dxa"/>
            <w:vMerge w:val="continue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4E5A1C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87C21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学习特点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D291BB2">
            <w:pPr>
              <w:spacing w:line="240" w:lineRule="auto"/>
              <w:jc w:val="both"/>
              <w:rPr>
                <w:rFonts w:hint="default" w:ascii="宋体" w:hAnsi="宋体" w:eastAsia="宋体" w:cs="宋体"/>
                <w:color w:val="FF0000"/>
                <w:sz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lang w:val="en-US" w:eastAsia="zh-CN"/>
              </w:rPr>
              <w:t>学生思维活跃，对职业发展有探索需求，但自主规划意识较弱，易受外界热门行业、他人选择影响，需通过案例分析、互动实践引导主动思考。</w:t>
            </w:r>
          </w:p>
        </w:tc>
      </w:tr>
      <w:tr w14:paraId="6163A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248" w:hRule="atLeast"/>
          <w:jc w:val="center"/>
        </w:trPr>
        <w:tc>
          <w:tcPr>
            <w:tcW w:w="1188" w:type="dxa"/>
            <w:vMerge w:val="restart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7C8BE56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教学目标</w:t>
            </w: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DEC1F4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素质目标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E90D6A8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1.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培养自我认知的意识，积极主动探索自身兴趣、能力和价值观，形成正确的职业观</w:t>
            </w:r>
            <w:r>
              <w:rPr>
                <w:rFonts w:hint="eastAsia" w:ascii="宋体" w:hAnsi="宋体" w:eastAsia="宋体" w:cs="宋体"/>
                <w:sz w:val="21"/>
              </w:rPr>
              <w:t>。</w:t>
            </w:r>
          </w:p>
          <w:p w14:paraId="784D5AE0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2.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提升面对职业选择和发展困境时的心理素质，保持积极乐观的心态，增强康挫折能力</w:t>
            </w:r>
            <w:r>
              <w:rPr>
                <w:rFonts w:hint="eastAsia" w:ascii="宋体" w:hAnsi="宋体" w:eastAsia="宋体" w:cs="宋体"/>
                <w:sz w:val="21"/>
              </w:rPr>
              <w:t>。</w:t>
            </w:r>
          </w:p>
          <w:p w14:paraId="733E724B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3.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树立正确的成功观念，注重个人内在需求的满足，追求客观性与主观性职业生涯的统一</w:t>
            </w:r>
            <w:r>
              <w:rPr>
                <w:rFonts w:hint="eastAsia" w:ascii="宋体" w:hAnsi="宋体" w:eastAsia="宋体" w:cs="宋体"/>
                <w:sz w:val="21"/>
              </w:rPr>
              <w:t>。</w:t>
            </w:r>
          </w:p>
        </w:tc>
      </w:tr>
      <w:tr w14:paraId="75872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996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7A00AE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D009F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知识目标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15D902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 xml:space="preserve">1. 理解职业规划的定义、构成要素及影响因素， 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掌握</w:t>
            </w:r>
            <w:r>
              <w:rPr>
                <w:rFonts w:hint="eastAsia" w:ascii="宋体" w:hAnsi="宋体" w:eastAsia="宋体" w:cs="宋体"/>
                <w:sz w:val="21"/>
              </w:rPr>
              <w:t>常见职业生涯规划理论的核心观点。</w:t>
            </w:r>
          </w:p>
          <w:p w14:paraId="53766B87">
            <w:pPr>
              <w:spacing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2. 熟悉帕森斯的人职匹配理论、舒伯的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生涯</w:t>
            </w:r>
            <w:r>
              <w:rPr>
                <w:rFonts w:hint="eastAsia" w:ascii="宋体" w:hAnsi="宋体" w:eastAsia="宋体" w:cs="宋体"/>
                <w:sz w:val="21"/>
              </w:rPr>
              <w:t>发展理论等的具体内容，包括理论步骤、阶段划分等。</w:t>
            </w:r>
          </w:p>
          <w:p w14:paraId="70AA4AAF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</w:rPr>
              <w:t>3. 明确霍兰德职业兴趣理论中六种人格类型及对应职业特点，了解明尼苏达工作适应理论的关键概念。</w:t>
            </w:r>
          </w:p>
        </w:tc>
      </w:tr>
      <w:tr w14:paraId="7990F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4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5DA29B61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22FBFD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能力目标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958D4C8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1. 运用职业规划理论，能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对个人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进行合理分析，准确评估自身特质，完成职业定位。</w:t>
            </w:r>
          </w:p>
          <w:p w14:paraId="6C2B8527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2. 根据自身情况设定明确的职业目标，并制订切实可行的计划以实现目标。</w:t>
            </w:r>
          </w:p>
          <w:p w14:paraId="4A84F02D">
            <w:pPr>
              <w:numPr>
                <w:ilvl w:val="0"/>
                <w:numId w:val="0"/>
              </w:numPr>
              <w:spacing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eastAsia="zh-CN"/>
              </w:rPr>
              <w:t>3. 增强生涯适应力，具备应对职业变化的能力，能在不同职业情境中灵活调整自身状态。</w:t>
            </w:r>
          </w:p>
        </w:tc>
      </w:tr>
      <w:tr w14:paraId="27501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19" w:hRule="atLeast"/>
          <w:jc w:val="center"/>
        </w:trPr>
        <w:tc>
          <w:tcPr>
            <w:tcW w:w="1188" w:type="dxa"/>
            <w:vMerge w:val="continue"/>
            <w:shd w:val="clear" w:color="auto" w:fill="auto"/>
            <w:vAlign w:val="center"/>
          </w:tcPr>
          <w:p w14:paraId="4A0588E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</w:p>
        </w:tc>
        <w:tc>
          <w:tcPr>
            <w:tcW w:w="1532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5162986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思政融入点</w:t>
            </w:r>
          </w:p>
        </w:tc>
        <w:tc>
          <w:tcPr>
            <w:tcW w:w="6490" w:type="dxa"/>
            <w:gridSpan w:val="6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3D39FDAD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1.通过关玉香职业发展典型案例，引导学生树立以自我价值实现与社会价值统一为核心的职业追求</w:t>
            </w:r>
          </w:p>
          <w:p w14:paraId="1F58A8CA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2.结合《2025 年未来就业报告》中技术进步、绿色经济等趋势，培养学生的时代责任感，引导将个人职业规划与国家发展需求结合</w:t>
            </w:r>
          </w:p>
        </w:tc>
      </w:tr>
      <w:tr w14:paraId="77F9F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988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79BF74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教学重点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A9C9C63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1.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职业规划的重要性与价值。</w:t>
            </w:r>
          </w:p>
          <w:p w14:paraId="596AC85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2.</w:t>
            </w: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主要的职业生涯规划理论。</w:t>
            </w:r>
          </w:p>
          <w:p w14:paraId="456A8D13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36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3.学业规划的影响及不同方向（升学、就业、创业）的规划要点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。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3B2FEC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教学难点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24E4C8D9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sz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1.运用职业规划理论准确评估自身特质，完成职业定位</w:t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br w:type="textWrapping"/>
            </w:r>
            <w:r>
              <w:rPr>
                <w:rFonts w:hint="default" w:ascii="宋体" w:hAnsi="宋体" w:eastAsia="宋体" w:cs="宋体"/>
                <w:sz w:val="21"/>
                <w:lang w:val="en-US" w:eastAsia="zh-CN"/>
              </w:rPr>
              <w:t>2.结合自身情况制定可落地的学业计划与职业目标</w:t>
            </w:r>
          </w:p>
        </w:tc>
      </w:tr>
      <w:tr w14:paraId="1DBFD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1323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C29D9D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重难点解决措施</w:t>
            </w:r>
          </w:p>
        </w:tc>
        <w:tc>
          <w:tcPr>
            <w:tcW w:w="8022" w:type="dxa"/>
            <w:gridSpan w:val="7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153C4589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采用案例分析法，结合实际案例讲解理论知识，让学生更易理解和应用。</w:t>
            </w:r>
          </w:p>
          <w:p w14:paraId="367D576A">
            <w:pPr>
              <w:numPr>
                <w:ilvl w:val="0"/>
                <w:numId w:val="1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sz w:val="21"/>
              </w:rPr>
              <w:t>组织小组讨论和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教学游戏</w:t>
            </w:r>
            <w:r>
              <w:rPr>
                <w:rFonts w:hint="eastAsia" w:ascii="宋体" w:hAnsi="宋体" w:eastAsia="宋体" w:cs="宋体"/>
                <w:sz w:val="21"/>
              </w:rPr>
              <w:t>活动，让学生在交流和</w:t>
            </w: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教学游戏</w:t>
            </w:r>
            <w:r>
              <w:rPr>
                <w:rFonts w:hint="eastAsia" w:ascii="宋体" w:hAnsi="宋体" w:eastAsia="宋体" w:cs="宋体"/>
                <w:sz w:val="21"/>
              </w:rPr>
              <w:t>中提升适应力和运用理论的能力。</w:t>
            </w:r>
          </w:p>
          <w:p w14:paraId="7C95E6B0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</w:rPr>
              <w:t>. 利用多媒体资源，如图片、视频等，增强教学的直观性和趣味性</w:t>
            </w:r>
            <w:r>
              <w:rPr>
                <w:rFonts w:hint="eastAsia" w:ascii="宋体" w:hAnsi="宋体" w:eastAsia="宋体" w:cs="宋体"/>
                <w:sz w:val="21"/>
                <w:lang w:eastAsia="zh-CN"/>
              </w:rPr>
              <w:t>。</w:t>
            </w:r>
          </w:p>
        </w:tc>
      </w:tr>
      <w:tr w14:paraId="09F8D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7" w:type="dxa"/>
          <w:trHeight w:val="732" w:hRule="atLeast"/>
          <w:jc w:val="center"/>
        </w:trPr>
        <w:tc>
          <w:tcPr>
            <w:tcW w:w="1188" w:type="dxa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4AFE8F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36"/>
              </w:rPr>
              <w:t>教法</w:t>
            </w:r>
          </w:p>
        </w:tc>
        <w:tc>
          <w:tcPr>
            <w:tcW w:w="3270" w:type="dxa"/>
            <w:gridSpan w:val="3"/>
            <w:shd w:val="clear" w:color="auto" w:fill="auto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B89189B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讲授/提问/案例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分享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</w:rPr>
              <w:t>/讨论</w:t>
            </w:r>
          </w:p>
        </w:tc>
        <w:tc>
          <w:tcPr>
            <w:tcW w:w="1110" w:type="dxa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6581DA1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</w:rPr>
              <w:t>学法</w:t>
            </w:r>
          </w:p>
        </w:tc>
        <w:tc>
          <w:tcPr>
            <w:tcW w:w="3642" w:type="dxa"/>
            <w:gridSpan w:val="3"/>
            <w:shd w:val="clear" w:color="auto" w:fill="FFFFFF"/>
            <w:tcMar>
              <w:top w:w="6" w:type="dxa"/>
              <w:left w:w="6" w:type="dxa"/>
              <w:bottom w:w="0" w:type="dxa"/>
              <w:right w:w="6" w:type="dxa"/>
            </w:tcMar>
            <w:vAlign w:val="center"/>
          </w:tcPr>
          <w:p w14:paraId="4198476C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</w:rPr>
            </w:pPr>
            <w:r>
              <w:rPr>
                <w:rFonts w:ascii="宋体" w:hAnsi="宋体" w:eastAsia="宋体" w:cs="宋体"/>
                <w:b w:val="0"/>
                <w:bCs/>
                <w:sz w:val="21"/>
                <w:szCs w:val="36"/>
              </w:rPr>
              <w:t>自主学习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36"/>
                <w:lang w:val="en-US" w:eastAsia="zh-CN"/>
              </w:rPr>
              <w:t>/完成课后任务/小组讨论/发言</w:t>
            </w:r>
          </w:p>
        </w:tc>
      </w:tr>
    </w:tbl>
    <w:p w14:paraId="7D4D9921"/>
    <w:tbl>
      <w:tblPr>
        <w:tblStyle w:val="7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4170"/>
        <w:gridCol w:w="1290"/>
        <w:gridCol w:w="1113"/>
        <w:gridCol w:w="1287"/>
      </w:tblGrid>
      <w:tr w14:paraId="310BB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7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F82E0F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二、教学实施</w:t>
            </w:r>
          </w:p>
        </w:tc>
      </w:tr>
      <w:tr w14:paraId="50307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9278C9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（一）课前预习</w:t>
            </w:r>
          </w:p>
        </w:tc>
      </w:tr>
      <w:tr w14:paraId="456203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F94A3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A12EB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58A23B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9A3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E4FC5B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44F35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A33017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建立课程群，</w:t>
            </w:r>
          </w:p>
          <w:p w14:paraId="1B76298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职业兴趣探索与自我评估问卷</w:t>
            </w:r>
          </w:p>
        </w:tc>
        <w:tc>
          <w:tcPr>
            <w:tcW w:w="417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C67F560"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结合霍兰德职业兴趣测试与MBTI性格测试简化版，设计线上预习问卷。</w:t>
            </w:r>
          </w:p>
          <w:p w14:paraId="48404ECE"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学生课前完成问卷，系统生成个性化兴趣与性格报告（如“艺术型+ENFP”组合）</w:t>
            </w:r>
          </w:p>
          <w:p w14:paraId="117B9CF6">
            <w:pPr>
              <w:numPr>
                <w:ilvl w:val="0"/>
                <w:numId w:val="2"/>
              </w:numPr>
              <w:spacing w:after="0" w:line="240" w:lineRule="auto"/>
              <w:jc w:val="left"/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问卷末尾设置开放性问题：“根据报告，你认为自己适合哪些职业？请列举3个并说明理由。”</w:t>
            </w:r>
          </w:p>
        </w:tc>
        <w:tc>
          <w:tcPr>
            <w:tcW w:w="1290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68C1D7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布置任务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收集统计结果</w:t>
            </w:r>
          </w:p>
        </w:tc>
        <w:tc>
          <w:tcPr>
            <w:tcW w:w="1113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8547BAF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根据自身情况填写问卷并思考问题</w:t>
            </w:r>
          </w:p>
        </w:tc>
        <w:tc>
          <w:tcPr>
            <w:tcW w:w="1287" w:type="dxa"/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C19CDA7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让学生对职业规划有初步的了解，为课堂学习做好准备</w:t>
            </w:r>
          </w:p>
        </w:tc>
      </w:tr>
      <w:tr w14:paraId="46A5D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46EE7FB3">
            <w:pPr>
              <w:spacing w:after="0" w:line="240" w:lineRule="auto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（二）课中实施</w:t>
            </w:r>
          </w:p>
        </w:tc>
      </w:tr>
      <w:tr w14:paraId="18F90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4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312DE9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F1FD1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F87BBC5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53B289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9901EC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6A830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B97826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环节一</w:t>
            </w:r>
          </w:p>
          <w:p w14:paraId="15082833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相互认识</w:t>
            </w:r>
          </w:p>
          <w:p w14:paraId="2F894BC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A60D28B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自我介绍，个人分析报告分享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E6B2268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展示匿名统计结果（如“60%的同学兴趣与性格匹配度高的职业为教育/创意行业”），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分组并让小组代表说说自己的情况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4DCDE8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自我介绍</w:t>
            </w:r>
          </w:p>
          <w:p w14:paraId="310EC1A2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发言交流</w:t>
            </w:r>
          </w:p>
          <w:p w14:paraId="72BDAFA8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分组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AAD4E99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相互认识；</w:t>
            </w:r>
            <w:r>
              <w:rPr>
                <w:rFonts w:ascii="PingFang-SC-Regular" w:hAnsi="PingFang-SC-Regular" w:eastAsia="PingFang-SC-Regular" w:cs="PingFang-SC-Regular"/>
                <w:i w:val="0"/>
                <w:iCs w:val="0"/>
                <w:caps w:val="0"/>
                <w:color w:val="0D0D0D"/>
                <w:spacing w:val="0"/>
                <w:sz w:val="24"/>
                <w:szCs w:val="24"/>
                <w:shd w:val="clear" w:fill="FFFFFF"/>
              </w:rPr>
              <w:t>通过科学测评工具帮助学生建立初步认知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；分组便于后期以小组为单位实施教学。</w:t>
            </w:r>
          </w:p>
        </w:tc>
      </w:tr>
      <w:tr w14:paraId="0B176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61B6E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环节二</w:t>
            </w:r>
          </w:p>
          <w:p w14:paraId="208DB21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案例导入</w:t>
            </w:r>
          </w:p>
          <w:p w14:paraId="66BD7B3D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1F1009D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案例导入：百万收益的职业规划启示</w:t>
            </w:r>
          </w:p>
          <w:p w14:paraId="6F18FBD1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思考与讨论：制定职业规划目标的前提是什么？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740E70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案例分享</w:t>
            </w:r>
          </w:p>
          <w:p w14:paraId="0BBE352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52A9549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案例学习</w:t>
            </w:r>
          </w:p>
          <w:p w14:paraId="0F98536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思考</w:t>
            </w:r>
          </w:p>
          <w:p w14:paraId="5689C81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讨论</w:t>
            </w:r>
          </w:p>
          <w:p w14:paraId="4589BC92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9CE8ED5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通过案例激发学生兴趣，引出 “职业规划” 主题，了解学生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的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初始认知</w:t>
            </w:r>
          </w:p>
        </w:tc>
      </w:tr>
      <w:tr w14:paraId="6F5DD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24346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环节三</w:t>
            </w:r>
          </w:p>
          <w:p w14:paraId="75126997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课程概述</w:t>
            </w:r>
          </w:p>
          <w:p w14:paraId="173246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2"/>
                <w:lang w:val="en-US" w:eastAsia="zh-CN" w:bidi="ar-SA"/>
              </w:rPr>
              <w:t>10min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B2277E4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课程背景与重要性，课程目标与内容框架，学习方法与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考核方式</w:t>
            </w:r>
            <w:r>
              <w:rPr>
                <w:rFonts w:hint="eastAsia" w:ascii="宋体" w:hAnsi="宋体" w:eastAsia="宋体" w:cs="宋体"/>
                <w:sz w:val="21"/>
                <w:szCs w:val="22"/>
                <w:lang w:eastAsia="zh-CN"/>
              </w:rPr>
              <w:t>。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B9453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C1890">
            <w:pPr>
              <w:spacing w:after="0" w:line="240" w:lineRule="auto"/>
              <w:jc w:val="left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认真学习理论知识，参与互动活动，思考自己的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职业</w:t>
            </w: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规划方向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A4510CB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帮助学生掌握主要的职业生涯规划理论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及核心知识要点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，为其职业定位和规划提供理论指导</w:t>
            </w:r>
          </w:p>
        </w:tc>
      </w:tr>
      <w:tr w14:paraId="5B426A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E184F70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环节四</w:t>
            </w:r>
          </w:p>
          <w:p w14:paraId="4C4BDE5B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职业规划的重要性与价值</w:t>
            </w:r>
          </w:p>
          <w:p w14:paraId="2BEC6E59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 w:bidi="ar-SA"/>
              </w:rPr>
              <w:t>15min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406225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职业规划的定义</w:t>
            </w:r>
          </w:p>
          <w:p w14:paraId="7F227AFC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职业规划的重要性</w:t>
            </w:r>
          </w:p>
          <w:p w14:paraId="3E38258C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职业规划的价值</w:t>
            </w:r>
          </w:p>
          <w:p w14:paraId="574FA644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center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思考与讨论：作为高职生，如何提升生涯控制与自信？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D8387B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3F84804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3A4421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讨论</w:t>
            </w:r>
          </w:p>
          <w:p w14:paraId="1871D1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发言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F01F474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让学生理解职业规划的核心意义，掌握 “认识自己 - 设目标 - 练适应力” 的逻辑，为后续理论应用打</w:t>
            </w:r>
            <w:r>
              <w:rPr>
                <w:rFonts w:hint="eastAsia" w:ascii="宋体" w:hAnsi="宋体" w:eastAsia="宋体" w:cs="宋体"/>
                <w:sz w:val="21"/>
                <w:szCs w:val="28"/>
                <w:lang w:val="en-US" w:eastAsia="zh-CN"/>
              </w:rPr>
              <w:t>下</w:t>
            </w:r>
            <w:r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  <w:t>基础</w:t>
            </w:r>
          </w:p>
        </w:tc>
      </w:tr>
      <w:tr w14:paraId="0381B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1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860000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环节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五</w:t>
            </w:r>
          </w:p>
          <w:p w14:paraId="38896D2C">
            <w:pPr>
              <w:spacing w:after="0" w:line="240" w:lineRule="auto"/>
              <w:jc w:val="center"/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职业生涯规划理论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1"/>
                <w:szCs w:val="21"/>
                <w:shd w:val="clear" w:fill="FFFFFF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1032FB2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帕森斯人职匹配理论</w:t>
            </w:r>
          </w:p>
          <w:p w14:paraId="1E5D936B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舒伯生涯发展理论</w:t>
            </w:r>
          </w:p>
          <w:p w14:paraId="5DC8D845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霍兰德职业兴趣理论</w:t>
            </w:r>
          </w:p>
          <w:p w14:paraId="0A92345A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施恩职业锚理论</w:t>
            </w:r>
          </w:p>
          <w:p w14:paraId="635E63FF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期间开展 “霍兰德兴趣岛游戏”：发放岛屿描述，学生30秒内选择，对应人格类型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809A5D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1. 讲解</w:t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2. 组织兴趣岛游戏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67F5E0C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3BE6FA30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参与游戏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203EAE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lang w:val="en-US" w:eastAsia="zh-CN"/>
              </w:rPr>
            </w:pPr>
          </w:p>
        </w:tc>
      </w:tr>
      <w:tr w14:paraId="17D8F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2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781F06F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六</w:t>
            </w:r>
          </w:p>
          <w:p w14:paraId="514118A1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职业规划之学业规划</w:t>
            </w:r>
          </w:p>
          <w:p w14:paraId="5E1FF2B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15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F278A8E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学业规划的影响</w:t>
            </w:r>
          </w:p>
          <w:p w14:paraId="0B1DB746">
            <w:pPr>
              <w:numPr>
                <w:ilvl w:val="0"/>
                <w:numId w:val="3"/>
              </w:numPr>
              <w:spacing w:after="0" w:line="240" w:lineRule="auto"/>
              <w:ind w:left="420" w:leftChars="0" w:hanging="42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不同路径规划</w:t>
            </w:r>
          </w:p>
          <w:p w14:paraId="08C53D92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1"/>
                <w:highlight w:val="none"/>
                <w:lang w:val="en-US" w:eastAsia="zh-CN"/>
              </w:rPr>
              <w:t>思考与讨论：如果你想创业，如何根据决策原则筛选项目？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DA9EFD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讲解</w:t>
            </w:r>
          </w:p>
          <w:p w14:paraId="7516DE7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提问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7C461E6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</w:rPr>
              <w:t>听讲</w:t>
            </w:r>
          </w:p>
          <w:p w14:paraId="06CF1E18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  <w:t>回答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B606197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</w:p>
        </w:tc>
      </w:tr>
      <w:tr w14:paraId="0575F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9" w:hRule="atLeast"/>
          <w:jc w:val="center"/>
        </w:trPr>
        <w:tc>
          <w:tcPr>
            <w:tcW w:w="135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0B1ACBCA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</w:rPr>
              <w:t>环节</w:t>
            </w: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七</w:t>
            </w:r>
          </w:p>
          <w:p w14:paraId="32102F8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>实践应用</w:t>
            </w:r>
          </w:p>
          <w:p w14:paraId="2F6E6673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/>
              </w:rPr>
              <w:t xml:space="preserve">10 </w:t>
            </w:r>
            <w:r>
              <w:rPr>
                <w:rFonts w:hint="eastAsia" w:ascii="宋体" w:hAnsi="宋体" w:eastAsia="宋体" w:cs="宋体"/>
                <w:sz w:val="21"/>
                <w:szCs w:val="22"/>
              </w:rPr>
              <w:t>min</w:t>
            </w:r>
          </w:p>
        </w:tc>
        <w:tc>
          <w:tcPr>
            <w:tcW w:w="417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32B8960">
            <w:pPr>
              <w:numPr>
                <w:ilvl w:val="0"/>
                <w:numId w:val="0"/>
              </w:numPr>
              <w:spacing w:after="0" w:line="240" w:lineRule="auto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让学生运用所学理论进行自我分析，尝试进行初步的职业定位和学业规划</w:t>
            </w:r>
          </w:p>
        </w:tc>
        <w:tc>
          <w:tcPr>
            <w:tcW w:w="1290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15F72E9F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指导学生进行自我分析和规划，解答学生的疑问</w:t>
            </w:r>
          </w:p>
        </w:tc>
        <w:tc>
          <w:tcPr>
            <w:tcW w:w="1113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5C0BD895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highlight w:val="none"/>
                <w:lang w:val="en-US" w:eastAsia="zh-CN" w:bidi="ar-SA"/>
              </w:rPr>
              <w:t>结合自身情况，进行自我分析，制定初步的职业定位和学业规划</w:t>
            </w:r>
          </w:p>
        </w:tc>
        <w:tc>
          <w:tcPr>
            <w:tcW w:w="1287" w:type="dxa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2D0104F1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8"/>
                <w:highlight w:val="none"/>
                <w:lang w:val="en-US" w:eastAsia="zh-CN" w:bidi="ar-SA"/>
              </w:rPr>
              <w:t>让学生在实践中运用所学的知识，提升职业定位和规划能力</w:t>
            </w:r>
          </w:p>
        </w:tc>
      </w:tr>
      <w:tr w14:paraId="3E669F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" w:hRule="atLeast"/>
          <w:jc w:val="center"/>
        </w:trPr>
        <w:tc>
          <w:tcPr>
            <w:tcW w:w="9210" w:type="dxa"/>
            <w:gridSpan w:val="5"/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14:paraId="6C100A43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（三）课后拓展</w:t>
            </w:r>
          </w:p>
        </w:tc>
      </w:tr>
      <w:tr w14:paraId="473072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1F3995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教学环节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94D9A94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教学内容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31301E06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教师活动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DFC9922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学生活动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E8B75BB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设计意图</w:t>
            </w:r>
          </w:p>
        </w:tc>
      </w:tr>
      <w:tr w14:paraId="32BC43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1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8A97EE6"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作业布置</w:t>
            </w:r>
          </w:p>
        </w:tc>
        <w:tc>
          <w:tcPr>
            <w:tcW w:w="417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9760830">
            <w:pPr>
              <w:numPr>
                <w:ilvl w:val="0"/>
                <w:numId w:val="0"/>
              </w:num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选个自已感兴趣的职业，通过网络搜索、行业报告查阋、职业访谈等方式，收集   职业的样细信息，包括职业的工作内容、发展前景、薪资待遇、技能要求、典型企业等木面。 五用所学理论，对收集的信息进行整理和分析，判断自己与该职业的匹配程度。形成一份职  业分析报告，字数不少于500字。</w:t>
            </w:r>
          </w:p>
        </w:tc>
        <w:tc>
          <w:tcPr>
            <w:tcW w:w="129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024C99F">
            <w:pPr>
              <w:spacing w:after="0" w:line="240" w:lineRule="auto"/>
              <w:jc w:val="both"/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发布课后任务，提供相关的模板和指导资料</w:t>
            </w:r>
          </w:p>
        </w:tc>
        <w:tc>
          <w:tcPr>
            <w:tcW w:w="1113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6E57845E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完成职业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2"/>
                <w:lang w:val="en-US" w:eastAsia="zh-CN" w:bidi="ar-SA"/>
              </w:rPr>
              <w:t>分析报告提交给教师</w:t>
            </w:r>
          </w:p>
        </w:tc>
        <w:tc>
          <w:tcPr>
            <w:tcW w:w="1287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2E7DFF6A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 w:bidi="ar-SA"/>
              </w:rPr>
              <w:t>巩固课堂所学知识，让学生进一步明确自己的学业和职业方向，提升规划能力</w:t>
            </w:r>
          </w:p>
        </w:tc>
      </w:tr>
      <w:tr w14:paraId="6F367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  <w:jc w:val="center"/>
        </w:trPr>
        <w:tc>
          <w:tcPr>
            <w:tcW w:w="1350" w:type="dxa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7B6F9B5E"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b/>
                <w:sz w:val="21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2"/>
              </w:rPr>
              <w:t>教学评价</w:t>
            </w:r>
          </w:p>
        </w:tc>
        <w:tc>
          <w:tcPr>
            <w:tcW w:w="7860" w:type="dxa"/>
            <w:gridSpan w:val="4"/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03A86BA6">
            <w:pPr>
              <w:numPr>
                <w:ilvl w:val="0"/>
                <w:numId w:val="0"/>
              </w:numPr>
              <w:spacing w:after="0" w:line="240" w:lineRule="auto"/>
              <w:ind w:leftChars="0"/>
              <w:jc w:val="both"/>
              <w:rPr>
                <w:rFonts w:hint="default" w:ascii="宋体" w:hAnsi="宋体" w:eastAsia="宋体" w:cs="宋体"/>
                <w:b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通过互动发言、小组讨论、游戏参与情况评估，多数学生能主动参与，但部分学生在理论应用讨论中表现被动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2"/>
                <w:lang w:val="en-US" w:eastAsia="zh-CN"/>
              </w:rPr>
              <w:t>。学生能按时职业分析报告，但部分报告存在 “理论应用生硬”“职业信息不全面” 问题。</w:t>
            </w:r>
          </w:p>
        </w:tc>
      </w:tr>
      <w:tr w14:paraId="3C2441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210" w:type="dxa"/>
            <w:gridSpan w:val="5"/>
            <w:shd w:val="clear" w:color="auto" w:fill="D7D7D7" w:themeFill="background1" w:themeFillShade="D8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1723313A">
            <w:pPr>
              <w:spacing w:after="0" w:line="240" w:lineRule="auto"/>
              <w:rPr>
                <w:rFonts w:eastAsia="仿宋" w:cs="宋体"/>
                <w:b/>
                <w:szCs w:val="28"/>
              </w:rPr>
            </w:pPr>
            <w:r>
              <w:rPr>
                <w:rFonts w:hint="eastAsia" w:eastAsia="仿宋" w:cs="宋体"/>
                <w:b/>
                <w:sz w:val="28"/>
                <w:szCs w:val="32"/>
              </w:rPr>
              <w:t>三、教学反思与改进</w:t>
            </w:r>
          </w:p>
        </w:tc>
      </w:tr>
      <w:tr w14:paraId="4C9780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9210" w:type="dxa"/>
            <w:gridSpan w:val="5"/>
            <w:tcBorders>
              <w:bottom w:val="single" w:color="000000" w:themeColor="text1" w:sz="4" w:space="0"/>
            </w:tcBorders>
            <w:shd w:val="clear" w:color="auto" w:fill="auto"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14:paraId="55EEFE1D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z w:val="21"/>
                <w:szCs w:val="22"/>
                <w:lang w:val="en-US" w:eastAsia="zh-CN"/>
              </w:rPr>
              <w:t>增设多样化的互动体验环节，比如职业模拟沙盘、行业大咖分享会等，打破课堂的沉闷感，让学生在参与和体验中感受职业生涯规划的趣味性，活跃课堂气氛，激发学生的主动探索兴趣，显著提高他们在课堂上的投入度。在理论教学中增加 “案例研讨 + 模拟应用” 环节，选取与学生职业方向相关的真实案例，引导学生分组用所学理论拆解问题、提出解决方案。通过实操加深对理论的理解。</w:t>
            </w:r>
          </w:p>
        </w:tc>
      </w:tr>
    </w:tbl>
    <w:p w14:paraId="31397B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817BA1"/>
    <w:multiLevelType w:val="singleLevel"/>
    <w:tmpl w:val="AE817BA1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49AFDCA"/>
    <w:multiLevelType w:val="singleLevel"/>
    <w:tmpl w:val="C49AF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716C5C0"/>
    <w:multiLevelType w:val="singleLevel"/>
    <w:tmpl w:val="D716C5C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hNDk2ZTQ5YTI3Y2EwNTFhNjkzNTlhMGUwZjg5MWUifQ=="/>
  </w:docVars>
  <w:rsids>
    <w:rsidRoot w:val="3B560750"/>
    <w:rsid w:val="001C4B3F"/>
    <w:rsid w:val="00235C15"/>
    <w:rsid w:val="003B0A20"/>
    <w:rsid w:val="003D4563"/>
    <w:rsid w:val="00471171"/>
    <w:rsid w:val="0047360F"/>
    <w:rsid w:val="00493E09"/>
    <w:rsid w:val="004D709A"/>
    <w:rsid w:val="0052251B"/>
    <w:rsid w:val="006719FB"/>
    <w:rsid w:val="006E4CD9"/>
    <w:rsid w:val="007B5958"/>
    <w:rsid w:val="00B82B4E"/>
    <w:rsid w:val="00BA6FCF"/>
    <w:rsid w:val="00D94021"/>
    <w:rsid w:val="00DD2B59"/>
    <w:rsid w:val="00E31249"/>
    <w:rsid w:val="00E33BEB"/>
    <w:rsid w:val="00EE1B80"/>
    <w:rsid w:val="00F42292"/>
    <w:rsid w:val="00F66EFA"/>
    <w:rsid w:val="00FB35EC"/>
    <w:rsid w:val="00FD66C2"/>
    <w:rsid w:val="00FD7CB8"/>
    <w:rsid w:val="0243737A"/>
    <w:rsid w:val="02F261FD"/>
    <w:rsid w:val="037F184C"/>
    <w:rsid w:val="03E56DE9"/>
    <w:rsid w:val="06170123"/>
    <w:rsid w:val="073B6DF0"/>
    <w:rsid w:val="07652E75"/>
    <w:rsid w:val="09252851"/>
    <w:rsid w:val="10C47EC4"/>
    <w:rsid w:val="158754DB"/>
    <w:rsid w:val="16C15493"/>
    <w:rsid w:val="174D4F79"/>
    <w:rsid w:val="1A0577C0"/>
    <w:rsid w:val="1B1E4D2C"/>
    <w:rsid w:val="1B4126EB"/>
    <w:rsid w:val="1D322F4F"/>
    <w:rsid w:val="1E175A65"/>
    <w:rsid w:val="202E40EF"/>
    <w:rsid w:val="239C32D1"/>
    <w:rsid w:val="27DC212D"/>
    <w:rsid w:val="28B44E58"/>
    <w:rsid w:val="2C4E1120"/>
    <w:rsid w:val="2D2D342B"/>
    <w:rsid w:val="2EA61DB4"/>
    <w:rsid w:val="31126909"/>
    <w:rsid w:val="33C2512E"/>
    <w:rsid w:val="34992B04"/>
    <w:rsid w:val="34CE1837"/>
    <w:rsid w:val="34F95589"/>
    <w:rsid w:val="35C90364"/>
    <w:rsid w:val="38295D87"/>
    <w:rsid w:val="388325C0"/>
    <w:rsid w:val="39FD60AD"/>
    <w:rsid w:val="3B560750"/>
    <w:rsid w:val="3C0F7EFE"/>
    <w:rsid w:val="3ED656D0"/>
    <w:rsid w:val="42190B77"/>
    <w:rsid w:val="428A2F34"/>
    <w:rsid w:val="430D368B"/>
    <w:rsid w:val="441875E1"/>
    <w:rsid w:val="468C28EC"/>
    <w:rsid w:val="46E10835"/>
    <w:rsid w:val="4CA24331"/>
    <w:rsid w:val="50894232"/>
    <w:rsid w:val="50AC56AF"/>
    <w:rsid w:val="50FE2865"/>
    <w:rsid w:val="5343132A"/>
    <w:rsid w:val="557034AA"/>
    <w:rsid w:val="56156871"/>
    <w:rsid w:val="56D510DB"/>
    <w:rsid w:val="578B799F"/>
    <w:rsid w:val="5E8611C2"/>
    <w:rsid w:val="60DC5780"/>
    <w:rsid w:val="619F39E9"/>
    <w:rsid w:val="62261C1B"/>
    <w:rsid w:val="62EE3C5C"/>
    <w:rsid w:val="62F835B8"/>
    <w:rsid w:val="63183C00"/>
    <w:rsid w:val="64D0549B"/>
    <w:rsid w:val="6AD85A42"/>
    <w:rsid w:val="6E68679F"/>
    <w:rsid w:val="7179414C"/>
    <w:rsid w:val="735F255F"/>
    <w:rsid w:val="74F52E88"/>
    <w:rsid w:val="778647BD"/>
    <w:rsid w:val="78484242"/>
    <w:rsid w:val="789631FF"/>
    <w:rsid w:val="79753912"/>
    <w:rsid w:val="79A47660"/>
    <w:rsid w:val="7D801FCC"/>
    <w:rsid w:val="7F314A7F"/>
    <w:rsid w:val="7FB95316"/>
    <w:rsid w:val="7FBC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Times New Roman" w:hAnsi="Times New Roman" w:eastAsia="等线" w:cs="等线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  <w:style w:type="paragraph" w:styleId="5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qFormat/>
    <w:uiPriority w:val="0"/>
    <w:rPr>
      <w:color w:val="0026E5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34"/>
  </w:style>
  <w:style w:type="paragraph" w:customStyle="1" w:styleId="12">
    <w:name w:val="样式 样式1 + 首行缩进:  2 字符"/>
    <w:basedOn w:val="1"/>
    <w:qFormat/>
    <w:uiPriority w:val="0"/>
    <w:pPr>
      <w:spacing w:before="120" w:beforeLines="50" w:after="120" w:afterLines="50"/>
      <w:ind w:firstLine="480" w:firstLineChars="200"/>
      <w:outlineLvl w:val="0"/>
    </w:pPr>
    <w:rPr>
      <w:rFonts w:ascii="仿宋_GB2312" w:hAnsi="黑体" w:eastAsia="仿宋" w:cs="宋体"/>
      <w:b/>
      <w:szCs w:val="20"/>
    </w:rPr>
  </w:style>
  <w:style w:type="character" w:customStyle="1" w:styleId="13">
    <w:name w:val="页眉 字符"/>
    <w:basedOn w:val="8"/>
    <w:link w:val="6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4">
    <w:name w:val="页脚 字符"/>
    <w:basedOn w:val="8"/>
    <w:link w:val="5"/>
    <w:qFormat/>
    <w:uiPriority w:val="0"/>
    <w:rPr>
      <w:rFonts w:ascii="Times New Roman" w:hAnsi="Times New Roman" w:eastAsia="等线" w:cs="等线"/>
      <w:sz w:val="18"/>
      <w:szCs w:val="18"/>
    </w:rPr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2419</Words>
  <Characters>2478</Characters>
  <Lines>19</Lines>
  <Paragraphs>5</Paragraphs>
  <TotalTime>0</TotalTime>
  <ScaleCrop>false</ScaleCrop>
  <LinksUpToDate>false</LinksUpToDate>
  <CharactersWithSpaces>2510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2024-07-06T05:02:00Z</dcterms:created>
  <dc:creator>WPS_1698399566</dc:creator>
  <cp:lastModifiedBy>WPS_1724405962</cp:lastModifiedBy>
  <dcterms:modified xsi:type="dcterms:W3CDTF">2025-09-01T06:09:28Z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90F6B28A4ED7498E8BF284865D76FA53_13</vt:lpwstr>
  </property>
  <property fmtid="{D5CDD505-2E9C-101B-9397-08002B2CF9AE}" pid="4" name="KSOTemplateDocerSaveRecord">
    <vt:lpwstr>eyJoZGlkIjoiYzBjMTZmYTljMTE0YjIyZGMyZDllYWIzOWEyMTgxZTIiLCJ1c2VySWQiOiIxNjI1MjI1MjM5In0=</vt:lpwstr>
  </property>
</Properties>
</file>